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384" w:rsidRPr="00064F78" w:rsidRDefault="00245384" w:rsidP="00245384">
      <w:pPr>
        <w:outlineLvl w:val="0"/>
        <w:rPr>
          <w:rFonts w:ascii="Times New Roman" w:hAnsi="Times New Roman" w:cs="Times New Roman"/>
        </w:rPr>
      </w:pPr>
      <w:bookmarkStart w:id="0" w:name="_GoBack"/>
      <w:bookmarkEnd w:id="0"/>
      <w:r w:rsidRPr="00064F78">
        <w:rPr>
          <w:rFonts w:ascii="Times New Roman" w:hAnsi="Times New Roman" w:cs="Times New Roman"/>
          <w:b/>
        </w:rPr>
        <w:t xml:space="preserve">Author Name: </w:t>
      </w:r>
      <w:r w:rsidRPr="00064F78">
        <w:rPr>
          <w:rFonts w:ascii="Times New Roman" w:hAnsi="Times New Roman" w:cs="Times New Roman"/>
        </w:rPr>
        <w:t>Marc Trachtenberg</w:t>
      </w:r>
    </w:p>
    <w:p w:rsidR="00245384" w:rsidRPr="00064F78" w:rsidRDefault="00245384" w:rsidP="00245384">
      <w:pPr>
        <w:outlineLvl w:val="0"/>
        <w:rPr>
          <w:rFonts w:ascii="Times New Roman" w:hAnsi="Times New Roman" w:cs="Times New Roman"/>
          <w:b/>
        </w:rPr>
      </w:pPr>
      <w:r w:rsidRPr="00064F78">
        <w:rPr>
          <w:rFonts w:ascii="Times New Roman" w:hAnsi="Times New Roman" w:cs="Times New Roman"/>
          <w:b/>
        </w:rPr>
        <w:t xml:space="preserve">Author Title: </w:t>
      </w:r>
      <w:r w:rsidRPr="00245384">
        <w:rPr>
          <w:rFonts w:ascii="Times New Roman" w:hAnsi="Times New Roman" w:cs="Times New Roman"/>
        </w:rPr>
        <w:t>Research</w:t>
      </w:r>
      <w:r>
        <w:rPr>
          <w:rFonts w:ascii="Times New Roman" w:hAnsi="Times New Roman" w:cs="Times New Roman"/>
          <w:b/>
        </w:rPr>
        <w:t xml:space="preserve"> </w:t>
      </w:r>
      <w:r w:rsidRPr="00064F78">
        <w:rPr>
          <w:rFonts w:ascii="Times New Roman" w:hAnsi="Times New Roman" w:cs="Times New Roman"/>
        </w:rPr>
        <w:t>Professor of Political Science, UCLA</w:t>
      </w:r>
    </w:p>
    <w:p w:rsidR="00245384" w:rsidRPr="00064F78" w:rsidRDefault="00245384" w:rsidP="00245384">
      <w:pPr>
        <w:rPr>
          <w:rFonts w:ascii="Times New Roman" w:hAnsi="Times New Roman" w:cs="Times New Roman"/>
          <w:b/>
        </w:rPr>
      </w:pPr>
      <w:r w:rsidRPr="00064F78">
        <w:rPr>
          <w:rFonts w:ascii="Times New Roman" w:hAnsi="Times New Roman" w:cs="Times New Roman"/>
          <w:b/>
        </w:rPr>
        <w:t xml:space="preserve">Chapter Title: </w:t>
      </w:r>
      <w:r w:rsidRPr="00064F78">
        <w:rPr>
          <w:rFonts w:ascii="Times New Roman" w:hAnsi="Times New Roman" w:cs="Times New Roman"/>
        </w:rPr>
        <w:t>Stumbling Around in the Archives</w:t>
      </w:r>
    </w:p>
    <w:p w:rsidR="00245384" w:rsidRPr="00064F78" w:rsidRDefault="00245384" w:rsidP="00245384">
      <w:pPr>
        <w:rPr>
          <w:rFonts w:ascii="Times New Roman" w:hAnsi="Times New Roman" w:cs="Times New Roman"/>
          <w:b/>
        </w:rPr>
      </w:pPr>
      <w:r w:rsidRPr="00064F78">
        <w:rPr>
          <w:rFonts w:ascii="Times New Roman" w:hAnsi="Times New Roman" w:cs="Times New Roman"/>
          <w:b/>
        </w:rPr>
        <w:t xml:space="preserve">Fieldwork location: </w:t>
      </w:r>
      <w:r w:rsidRPr="00064F78">
        <w:rPr>
          <w:rFonts w:ascii="Times New Roman" w:hAnsi="Times New Roman" w:cs="Times New Roman"/>
        </w:rPr>
        <w:t xml:space="preserve">Paris, France </w:t>
      </w:r>
    </w:p>
    <w:p w:rsidR="00245384" w:rsidRPr="00064F78" w:rsidRDefault="00245384" w:rsidP="00245384">
      <w:pPr>
        <w:outlineLvl w:val="0"/>
        <w:rPr>
          <w:rFonts w:ascii="Times New Roman" w:hAnsi="Times New Roman" w:cs="Times New Roman"/>
          <w:b/>
        </w:rPr>
      </w:pPr>
      <w:r w:rsidRPr="00064F78">
        <w:rPr>
          <w:rFonts w:ascii="Times New Roman" w:hAnsi="Times New Roman" w:cs="Times New Roman"/>
          <w:b/>
        </w:rPr>
        <w:t xml:space="preserve">Fieldwork topic(s): </w:t>
      </w:r>
      <w:r w:rsidRPr="00064F78">
        <w:rPr>
          <w:rFonts w:ascii="Times New Roman" w:hAnsi="Times New Roman" w:cs="Times New Roman"/>
        </w:rPr>
        <w:t>20</w:t>
      </w:r>
      <w:r w:rsidRPr="00064F78">
        <w:rPr>
          <w:rFonts w:ascii="Times New Roman" w:hAnsi="Times New Roman" w:cs="Times New Roman"/>
          <w:vertAlign w:val="superscript"/>
        </w:rPr>
        <w:t>th</w:t>
      </w:r>
      <w:r w:rsidRPr="00064F78">
        <w:rPr>
          <w:rFonts w:ascii="Times New Roman" w:hAnsi="Times New Roman" w:cs="Times New Roman"/>
        </w:rPr>
        <w:t xml:space="preserve"> century International Politics</w:t>
      </w:r>
    </w:p>
    <w:p w:rsidR="00245384" w:rsidRPr="00064F78" w:rsidRDefault="00245384" w:rsidP="00245384">
      <w:pPr>
        <w:pStyle w:val="Body"/>
        <w:outlineLvl w:val="0"/>
        <w:rPr>
          <w:rFonts w:ascii="Times New Roman" w:hAnsi="Times New Roman" w:cs="Times New Roman"/>
          <w:b/>
          <w:color w:val="auto"/>
          <w:sz w:val="24"/>
          <w:szCs w:val="24"/>
        </w:rPr>
      </w:pPr>
      <w:r w:rsidRPr="00064F78">
        <w:rPr>
          <w:rFonts w:ascii="Times New Roman" w:hAnsi="Times New Roman" w:cs="Times New Roman"/>
          <w:b/>
          <w:color w:val="auto"/>
          <w:sz w:val="24"/>
          <w:szCs w:val="24"/>
        </w:rPr>
        <w:t>Publications that this fieldwork contributed to:</w:t>
      </w:r>
    </w:p>
    <w:p w:rsidR="00245384" w:rsidRPr="004473F0" w:rsidRDefault="00245384" w:rsidP="00245384">
      <w:pPr>
        <w:pStyle w:val="Body"/>
        <w:numPr>
          <w:ilvl w:val="0"/>
          <w:numId w:val="1"/>
        </w:numPr>
        <w:rPr>
          <w:rFonts w:ascii="Times New Roman" w:hAnsi="Times New Roman" w:cs="Times New Roman"/>
          <w:color w:val="auto"/>
        </w:rPr>
      </w:pPr>
      <w:r w:rsidRPr="004473F0">
        <w:rPr>
          <w:rFonts w:ascii="Times New Roman" w:hAnsi="Times New Roman" w:cs="Times New Roman"/>
          <w:color w:val="auto"/>
        </w:rPr>
        <w:t xml:space="preserve">Marc Trachtenberg, </w:t>
      </w:r>
      <w:r w:rsidRPr="004473F0">
        <w:rPr>
          <w:rFonts w:ascii="Times New Roman" w:hAnsi="Times New Roman" w:cs="Times New Roman"/>
          <w:i/>
          <w:iCs/>
          <w:color w:val="auto"/>
        </w:rPr>
        <w:t>Reparation in World Politics: France and European Economic Diplomacy, 1916-1923</w:t>
      </w:r>
      <w:r w:rsidRPr="004473F0">
        <w:rPr>
          <w:rFonts w:ascii="Times New Roman" w:hAnsi="Times New Roman" w:cs="Times New Roman"/>
          <w:color w:val="auto"/>
        </w:rPr>
        <w:t xml:space="preserve"> (New York: Columbia University Press, 1980)</w:t>
      </w:r>
    </w:p>
    <w:p w:rsidR="00245384" w:rsidRPr="004473F0" w:rsidRDefault="00245384" w:rsidP="00245384">
      <w:pPr>
        <w:pStyle w:val="Body"/>
        <w:numPr>
          <w:ilvl w:val="0"/>
          <w:numId w:val="1"/>
        </w:numPr>
        <w:rPr>
          <w:rFonts w:ascii="Times New Roman" w:hAnsi="Times New Roman" w:cs="Times New Roman"/>
          <w:b/>
          <w:color w:val="auto"/>
        </w:rPr>
      </w:pPr>
      <w:r w:rsidRPr="004473F0">
        <w:rPr>
          <w:rFonts w:ascii="Times New Roman" w:hAnsi="Times New Roman" w:cs="Times New Roman"/>
          <w:color w:val="auto"/>
        </w:rPr>
        <w:t xml:space="preserve">Marc Trachtenberg, </w:t>
      </w:r>
      <w:r w:rsidRPr="004473F0">
        <w:rPr>
          <w:rFonts w:ascii="Times New Roman" w:hAnsi="Times New Roman" w:cs="Times New Roman"/>
          <w:i/>
          <w:color w:val="auto"/>
        </w:rPr>
        <w:t>The Cold War and After: History, Theory, and the Logic of International Politics</w:t>
      </w:r>
      <w:r w:rsidRPr="004473F0">
        <w:rPr>
          <w:rFonts w:ascii="Times New Roman" w:hAnsi="Times New Roman" w:cs="Times New Roman"/>
          <w:color w:val="auto"/>
        </w:rPr>
        <w:t xml:space="preserve"> (Princeton University Press, 2012)</w:t>
      </w:r>
    </w:p>
    <w:p w:rsidR="00245384" w:rsidRPr="00064F78" w:rsidRDefault="00245384" w:rsidP="00245384">
      <w:pPr>
        <w:rPr>
          <w:rFonts w:ascii="Times New Roman" w:hAnsi="Times New Roman" w:cs="Times New Roman"/>
          <w:b/>
        </w:rPr>
      </w:pPr>
    </w:p>
    <w:p w:rsidR="00245384" w:rsidRPr="00064F78" w:rsidRDefault="00245384" w:rsidP="00245384">
      <w:pPr>
        <w:rPr>
          <w:rFonts w:ascii="Times New Roman" w:hAnsi="Times New Roman" w:cs="Times New Roman"/>
        </w:rPr>
      </w:pPr>
      <w:r w:rsidRPr="00064F78">
        <w:rPr>
          <w:rFonts w:ascii="Times New Roman" w:hAnsi="Times New Roman" w:cs="Times New Roman"/>
        </w:rPr>
        <w:t xml:space="preserve">I spent 1971—all twelve months—in Paris doing the research for my doctoral dissertation. In terms of the mechanics of research, it was a different world back then. Photocopying was very expensive, so I had to copy by hand most of the passages I thought I might want to use. And I didn’t even know before I arrived which sources I wanted to examine. The published guides to the archives didn’t tell you much, and the more detailed finding aids were all in Paris. Looking back now, it is clear I didn’t know what I was doing.  </w:t>
      </w:r>
    </w:p>
    <w:p w:rsidR="00245384" w:rsidRPr="00064F78" w:rsidRDefault="00245384" w:rsidP="00245384">
      <w:pPr>
        <w:rPr>
          <w:rFonts w:ascii="Times New Roman" w:hAnsi="Times New Roman" w:cs="Times New Roman"/>
        </w:rPr>
      </w:pPr>
    </w:p>
    <w:p w:rsidR="00245384" w:rsidRPr="00064F78" w:rsidRDefault="00245384" w:rsidP="00245384">
      <w:pPr>
        <w:rPr>
          <w:rFonts w:ascii="Times New Roman" w:hAnsi="Times New Roman" w:cs="Times New Roman"/>
        </w:rPr>
      </w:pPr>
      <w:r w:rsidRPr="00064F78">
        <w:rPr>
          <w:rFonts w:ascii="Times New Roman" w:hAnsi="Times New Roman" w:cs="Times New Roman"/>
        </w:rPr>
        <w:t>That point applied not just to the logistics of research, but also to more substantive matters. I was working on the reparation question after the First World War. Germany had been required by the peace treaty worked out in 1919 to pay compensation to France for the damage done during the war, and this issue played a very important role in international politics in the immediate postwar period. I had selected—or actually, more or less drifted into—that topic for very general reasons. It seemed to me that too much of the work on the origins of the Second World War had focused on Hitler and on the 1930s. It seemed to me that the 1920s had been neglected, that the line between the 1920s and the 1930s had been overdrawn, and that people had not paid as much attention to what we would now call “structural” factors—at the time, I had not heard of that term—as they should have. It was clear that there had been a struggle over the Versailles system, not just in the 1930s, but even more importantly in the period right after World War I, and that that struggle had focused on the conflict over the reparations. I was in the Berkeley Ph.D. program in history, and at that time grad students in that program were required to have an outside field; I had chosen economics. I therefore thought I had the background to study the reparation issue, and I assumed, without knowing much about the availability of evidence, or about how recently it had been released, that there would be enough material to support a dissertation on the topic.</w:t>
      </w:r>
    </w:p>
    <w:p w:rsidR="00245384" w:rsidRPr="00064F78" w:rsidRDefault="00245384" w:rsidP="00245384">
      <w:pPr>
        <w:rPr>
          <w:rFonts w:ascii="Times New Roman" w:hAnsi="Times New Roman" w:cs="Times New Roman"/>
        </w:rPr>
      </w:pPr>
    </w:p>
    <w:p w:rsidR="00245384" w:rsidRPr="00064F78" w:rsidRDefault="00245384" w:rsidP="00245384">
      <w:pPr>
        <w:rPr>
          <w:rFonts w:ascii="Times New Roman" w:hAnsi="Times New Roman" w:cs="Times New Roman"/>
        </w:rPr>
      </w:pPr>
      <w:r w:rsidRPr="00064F78">
        <w:rPr>
          <w:rFonts w:ascii="Times New Roman" w:hAnsi="Times New Roman" w:cs="Times New Roman"/>
        </w:rPr>
        <w:t>Before I arrived in Paris, I had learned what I could about the topic from the published sources, and I had absorbed what was then the standard view that the reparations were obviously beyond Germany’s capacity to pay, that the “vengeful” French had taken a hard line on the question, and that Britain and America approached the issue in a much more reasonable and conciliatory manner. My goal, when I started to do my research, was to try to figure out why the French had behaved in that way. And in dealing with that issue I just stumbled around, looking at whatever sources I could find that seemed to have some bearing on the topic.</w:t>
      </w:r>
    </w:p>
    <w:p w:rsidR="00245384" w:rsidRPr="00064F78" w:rsidRDefault="00245384" w:rsidP="00245384">
      <w:pPr>
        <w:rPr>
          <w:rFonts w:ascii="Times New Roman" w:hAnsi="Times New Roman" w:cs="Times New Roman"/>
        </w:rPr>
      </w:pPr>
    </w:p>
    <w:p w:rsidR="00245384" w:rsidRPr="00064F78" w:rsidRDefault="00245384" w:rsidP="00245384">
      <w:pPr>
        <w:rPr>
          <w:rFonts w:ascii="Times New Roman" w:hAnsi="Times New Roman" w:cs="Times New Roman"/>
        </w:rPr>
      </w:pPr>
      <w:r w:rsidRPr="00064F78">
        <w:rPr>
          <w:rFonts w:ascii="Times New Roman" w:hAnsi="Times New Roman" w:cs="Times New Roman"/>
        </w:rPr>
        <w:t>The Klotz Papers, at the Bibliothèque de Documentation Internationale Contemporaine in Nanterre, just outside of Paris, was one such source. Louis-Lucien Klotz was the finance minister in the Clemenceau government, the government that negotiated the peace treaty in 1919. I had already learned that Clemenceau had been contemptuous of Klotz—the “only Jew I ever met who has no capacity whatever for finance,” he called him—and that his key advisor on reparation and related issues was Louis Loucheur, the minister of industrial reconstruction. But given Klotz’s position, his papers certainly seemed worth looking at.</w:t>
      </w:r>
    </w:p>
    <w:p w:rsidR="00245384" w:rsidRPr="00064F78" w:rsidRDefault="00245384" w:rsidP="00245384">
      <w:pPr>
        <w:rPr>
          <w:rFonts w:ascii="Times New Roman" w:hAnsi="Times New Roman" w:cs="Times New Roman"/>
        </w:rPr>
      </w:pPr>
    </w:p>
    <w:p w:rsidR="00245384" w:rsidRPr="00064F78" w:rsidRDefault="00245384" w:rsidP="00245384">
      <w:pPr>
        <w:rPr>
          <w:rFonts w:ascii="Times New Roman" w:hAnsi="Times New Roman" w:cs="Times New Roman"/>
        </w:rPr>
      </w:pPr>
      <w:r w:rsidRPr="00064F78">
        <w:rPr>
          <w:rFonts w:ascii="Times New Roman" w:hAnsi="Times New Roman" w:cs="Times New Roman"/>
        </w:rPr>
        <w:t>And what a surprise they contained! They had the records of the peace conference commission responsible for working out the terms of the reparation settlement; Loucheur was the French representative on that group. The British delegates had suggested some very large figures, and Loucheur clearly thought they were preposterous and that much lower figures were in order. The Germans, in his view, could pay about $30 billion, but as for the British figures, which were four times as large, “we leave to the poets of the future the task of finding solutions.”</w:t>
      </w:r>
      <w:r w:rsidRPr="00064F78">
        <w:rPr>
          <w:rStyle w:val="FootnoteReference"/>
          <w:rFonts w:ascii="Times New Roman" w:hAnsi="Times New Roman"/>
        </w:rPr>
        <w:footnoteReference w:id="1"/>
      </w:r>
      <w:r w:rsidRPr="00064F78">
        <w:rPr>
          <w:rFonts w:ascii="Times New Roman" w:hAnsi="Times New Roman" w:cs="Times New Roman"/>
        </w:rPr>
        <w:t xml:space="preserve">  I remember how startled I was when I read this. Could it be that we had all been sold a bill of goods, and that the standard view about the vindictive French and the more moderate Anglo-Saxons was simply a myth? I had found a loose thread in the fabric of the conventional wisdom, and once I started to pull on it, it unraveled very quickly.  </w:t>
      </w:r>
    </w:p>
    <w:p w:rsidR="00245384" w:rsidRPr="00064F78" w:rsidRDefault="00245384" w:rsidP="00245384">
      <w:pPr>
        <w:rPr>
          <w:rFonts w:ascii="Times New Roman" w:hAnsi="Times New Roman" w:cs="Times New Roman"/>
        </w:rPr>
      </w:pPr>
    </w:p>
    <w:p w:rsidR="00245384" w:rsidRPr="00064F78" w:rsidRDefault="00245384" w:rsidP="00245384">
      <w:pPr>
        <w:rPr>
          <w:rFonts w:ascii="Times New Roman" w:hAnsi="Times New Roman" w:cs="Times New Roman"/>
        </w:rPr>
      </w:pPr>
      <w:r w:rsidRPr="00064F78">
        <w:rPr>
          <w:rFonts w:ascii="Times New Roman" w:hAnsi="Times New Roman" w:cs="Times New Roman"/>
        </w:rPr>
        <w:t>But the point is that this was something I had just stumbled into. I had not started out with the goal of proving anything of the sort. I was not even trying to test the conventional view, which, when I began my research, I basically shared. And that was not the only time I came across key pieces of evidence more or less by accident.</w:t>
      </w:r>
    </w:p>
    <w:p w:rsidR="00245384" w:rsidRPr="00064F78" w:rsidRDefault="00245384" w:rsidP="00245384">
      <w:pPr>
        <w:rPr>
          <w:rFonts w:ascii="Times New Roman" w:hAnsi="Times New Roman" w:cs="Times New Roman"/>
        </w:rPr>
      </w:pPr>
    </w:p>
    <w:p w:rsidR="00245384" w:rsidRPr="00064F78" w:rsidRDefault="00245384" w:rsidP="00245384">
      <w:pPr>
        <w:rPr>
          <w:rFonts w:ascii="Times New Roman" w:hAnsi="Times New Roman" w:cs="Times New Roman"/>
        </w:rPr>
      </w:pPr>
      <w:r w:rsidRPr="00064F78">
        <w:rPr>
          <w:rFonts w:ascii="Times New Roman" w:hAnsi="Times New Roman" w:cs="Times New Roman"/>
        </w:rPr>
        <w:t xml:space="preserve">I remember another case, also in an archive just outside of Paris, that fit into that pattern. I was trying to understand NATO strategy in the 1950s, and I had learned, especially from my friend Bob Wampler, that an important decision had been made at the end of 1954 to adopt a strategy for the defense of Europe that placed very heavy emphasis on nuclear weapons. Specifically, this was the decision to adopt a NATO document called MC-48, and I wanted to find out as much as I could about that document and the thinking that supported it. Wampler had gotten some terrific material from the British archives, and I wanted to see what I could find in the archives of the French ministry of defense at Vincennes. The key source there was the papers of General Clément Blanc, the French army chief of staff at the time. And I found some remarkable material on MC-48 in that collection, which I used in an article on the subject, first published in French in 1996, and then republished (with some changes) in English in 2012 in </w:t>
      </w:r>
      <w:r w:rsidRPr="00064F78">
        <w:rPr>
          <w:rFonts w:ascii="Times New Roman" w:hAnsi="Times New Roman" w:cs="Times New Roman"/>
          <w:i/>
        </w:rPr>
        <w:t>The Cold War and After</w:t>
      </w:r>
      <w:r w:rsidRPr="00064F78">
        <w:rPr>
          <w:rFonts w:ascii="Times New Roman" w:hAnsi="Times New Roman" w:cs="Times New Roman"/>
        </w:rPr>
        <w:t>.</w:t>
      </w:r>
      <w:r w:rsidRPr="00064F78">
        <w:rPr>
          <w:rStyle w:val="FootnoteReference"/>
          <w:rFonts w:ascii="Times New Roman" w:hAnsi="Times New Roman"/>
        </w:rPr>
        <w:footnoteReference w:id="2"/>
      </w:r>
    </w:p>
    <w:p w:rsidR="00245384" w:rsidRPr="00064F78" w:rsidRDefault="00245384" w:rsidP="00245384">
      <w:pPr>
        <w:rPr>
          <w:rFonts w:ascii="Times New Roman" w:hAnsi="Times New Roman" w:cs="Times New Roman"/>
        </w:rPr>
      </w:pPr>
      <w:r w:rsidRPr="00064F78">
        <w:rPr>
          <w:rFonts w:ascii="Times New Roman" w:hAnsi="Times New Roman" w:cs="Times New Roman"/>
        </w:rPr>
        <w:t>As I found out when I went back to that archive, I had been given a file in the Blanc papers that was not supposed to be given out to researchers and that had been given to me by accident. The reason it was still classified was quite clear: the key thing about MC-48 is that it rested on the assumption that if the decision to launch a major nuclear attack was to be effective, it had to be made very quickly, and that meant that the military authorities would play the central role in making that decision. The French government, understanding the great political sensitivity of this issue, naturally wanted to keep the public from finding out what had been decided. Documents showing that this was the government’s goal were actually in the file. It was quite understandable why French governments, even after the end of the Cold War, wanted to keep people from knowing about all this.</w:t>
      </w:r>
    </w:p>
    <w:p w:rsidR="00245384" w:rsidRPr="00064F78" w:rsidRDefault="00245384" w:rsidP="00245384">
      <w:pPr>
        <w:rPr>
          <w:rFonts w:ascii="Times New Roman" w:hAnsi="Times New Roman" w:cs="Times New Roman"/>
        </w:rPr>
      </w:pPr>
    </w:p>
    <w:p w:rsidR="00245384" w:rsidRDefault="00245384" w:rsidP="00245384">
      <w:pPr>
        <w:rPr>
          <w:rFonts w:ascii="Times New Roman" w:hAnsi="Times New Roman" w:cs="Times New Roman"/>
        </w:rPr>
      </w:pPr>
      <w:r w:rsidRPr="00064F78">
        <w:rPr>
          <w:rFonts w:ascii="Times New Roman" w:hAnsi="Times New Roman" w:cs="Times New Roman"/>
        </w:rPr>
        <w:t>I know of other examples where people were given important documents by accident. An old student of mine, working in the Taylor Papers at the National Defense University, was given important documents on the mistaken assumption that he had a security clearance and would not use them in anything he published. Those documents showed how Secretary of Defense Robert McNamara bullied the Joint Chiefs of Staff into taking a position on the issue of deploying nuclear missiles in Europe that varied enormously from their real position.</w:t>
      </w:r>
    </w:p>
    <w:p w:rsidR="00245384" w:rsidRPr="00064F78" w:rsidRDefault="00245384" w:rsidP="00245384">
      <w:pPr>
        <w:rPr>
          <w:rFonts w:ascii="Times New Roman" w:hAnsi="Times New Roman" w:cs="Times New Roman"/>
        </w:rPr>
      </w:pPr>
    </w:p>
    <w:p w:rsidR="00245384" w:rsidRPr="00064F78" w:rsidRDefault="00245384" w:rsidP="00245384">
      <w:pPr>
        <w:rPr>
          <w:rFonts w:ascii="Times New Roman" w:hAnsi="Times New Roman" w:cs="Times New Roman"/>
        </w:rPr>
      </w:pPr>
      <w:r w:rsidRPr="00064F78">
        <w:rPr>
          <w:rFonts w:ascii="Times New Roman" w:hAnsi="Times New Roman" w:cs="Times New Roman"/>
        </w:rPr>
        <w:t xml:space="preserve">Is it right to use material obtained in this way? I personally don’t have any problem with it. I tend to view historians like me as engaged in a kind of game with people who determine which documents we’re allowed to see. Their goal is often to keep us for “getting the dirt” on policy-makers. That’s why they use the term “sanitized” to refer to documents where key passages, containing the “dirt,” have been deleted before being released. Our goal, on the other hand, is to get the “dirt”—that is, the full truth. And in playing that game, we naturally use whatever assets their inefficiency provides for us.   </w:t>
      </w:r>
    </w:p>
    <w:p w:rsidR="00245384" w:rsidRPr="00064F78" w:rsidRDefault="00245384" w:rsidP="00245384">
      <w:pPr>
        <w:rPr>
          <w:rFonts w:ascii="Times New Roman" w:hAnsi="Times New Roman" w:cs="Times New Roman"/>
        </w:rPr>
      </w:pPr>
    </w:p>
    <w:p w:rsidR="00245384" w:rsidRPr="00064F78" w:rsidRDefault="00245384" w:rsidP="00245384">
      <w:pPr>
        <w:rPr>
          <w:rFonts w:ascii="Times New Roman" w:hAnsi="Times New Roman" w:cs="Times New Roman"/>
        </w:rPr>
      </w:pPr>
      <w:r w:rsidRPr="00064F78">
        <w:rPr>
          <w:rFonts w:ascii="Times New Roman" w:hAnsi="Times New Roman" w:cs="Times New Roman"/>
        </w:rPr>
        <w:t>Sometimes we have to develop new methods for that very purpose. One of the main things I ended up doing, when I was writing my book on the 1945-63 period, was to collect variant versions of the same document—versions declassified differently in different repositories, or different accounts of the same meeting (like U.S. and British accounts of the same Anglo-American meetings—accounts found by doing work in both British and American archives).  The comparisons are often quite illuminating: they show the nature of the bias incorporated into the body of declassified material by virtue of the fact that declassification is a politicized process; once you identify the bias you can control for it when working out your own interpretation.</w:t>
      </w:r>
      <w:r w:rsidRPr="00064F78">
        <w:rPr>
          <w:rStyle w:val="FootnoteReference"/>
          <w:rFonts w:ascii="Times New Roman" w:hAnsi="Times New Roman"/>
        </w:rPr>
        <w:footnoteReference w:id="3"/>
      </w:r>
      <w:r w:rsidRPr="00064F78">
        <w:rPr>
          <w:rFonts w:ascii="Times New Roman" w:hAnsi="Times New Roman" w:cs="Times New Roman"/>
        </w:rPr>
        <w:t xml:space="preserve"> The point here is that the methods you end up using are not just the ones you learned in graduate school—certainly not just ones you learn in a “methods course.”  They’re methods you develop to deal with particular problems you encounter as you actually do your work.</w:t>
      </w:r>
    </w:p>
    <w:p w:rsidR="00245384" w:rsidRPr="00064F78" w:rsidRDefault="00245384" w:rsidP="00245384">
      <w:pPr>
        <w:rPr>
          <w:rFonts w:ascii="Times New Roman" w:hAnsi="Times New Roman" w:cs="Times New Roman"/>
        </w:rPr>
      </w:pPr>
    </w:p>
    <w:p w:rsidR="00245384" w:rsidRPr="00064F78" w:rsidRDefault="00245384" w:rsidP="00245384">
      <w:pPr>
        <w:rPr>
          <w:rFonts w:ascii="Times New Roman" w:hAnsi="Times New Roman" w:cs="Times New Roman"/>
        </w:rPr>
      </w:pPr>
      <w:r w:rsidRPr="00064F78">
        <w:rPr>
          <w:rFonts w:ascii="Times New Roman" w:hAnsi="Times New Roman" w:cs="Times New Roman"/>
        </w:rPr>
        <w:t xml:space="preserve">Again, these are things you more or less just stumble into. You can never tell what obstacles you’ll encounter. Nor can you tell what strokes of luck you’ll have. I needed, at one point, to do some work on the American nuclear strategists, and for that purpose I wanted to get access to some of the old material at the Rand Corporation in Santa Monica. I also needed to do some interviewing. It turned out people were very accommodating. Fred Kaplan had recently published his book </w:t>
      </w:r>
      <w:r w:rsidRPr="00064F78">
        <w:rPr>
          <w:rFonts w:ascii="Times New Roman" w:hAnsi="Times New Roman" w:cs="Times New Roman"/>
          <w:i/>
        </w:rPr>
        <w:t>The Wizards of Armageddon</w:t>
      </w:r>
      <w:r w:rsidRPr="00064F78">
        <w:rPr>
          <w:rFonts w:ascii="Times New Roman" w:hAnsi="Times New Roman" w:cs="Times New Roman"/>
        </w:rPr>
        <w:t>,</w:t>
      </w:r>
      <w:r w:rsidRPr="00064F78">
        <w:rPr>
          <w:rStyle w:val="FootnoteReference"/>
          <w:rFonts w:ascii="Times New Roman" w:hAnsi="Times New Roman"/>
        </w:rPr>
        <w:footnoteReference w:id="4"/>
      </w:r>
      <w:r w:rsidRPr="00064F78">
        <w:rPr>
          <w:rFonts w:ascii="Times New Roman" w:hAnsi="Times New Roman" w:cs="Times New Roman"/>
        </w:rPr>
        <w:t xml:space="preserve"> which many of the people I needed help from did not like. Kaplan, they thought, was very smart, but he was not particularly sympathetic to what they did. They were ready to help me because they thought there was a good chance I’d redress the imbalance and provide a more positive view of what they had done.</w:t>
      </w:r>
    </w:p>
    <w:p w:rsidR="00245384" w:rsidRPr="00064F78" w:rsidRDefault="00245384" w:rsidP="00245384">
      <w:pPr>
        <w:rPr>
          <w:rFonts w:ascii="Times New Roman" w:hAnsi="Times New Roman" w:cs="Times New Roman"/>
        </w:rPr>
      </w:pPr>
      <w:r w:rsidRPr="00064F78">
        <w:rPr>
          <w:rFonts w:ascii="Times New Roman" w:hAnsi="Times New Roman" w:cs="Times New Roman"/>
        </w:rPr>
        <w:t xml:space="preserve">I had another stroke of luck with the Kennedy tapes. I happened to run into McGeorge Bundy, formerly Kennedy’s national security advisor, at a conference at Columbia, and he told me in passing that the Kennedy Library had just released the transcript of the tapes of the meetings held at the very beginning of the Cuban Missile Crisis in October 1962. Why hadn’t I heard about this? It turned out that the </w:t>
      </w:r>
      <w:r w:rsidRPr="00064F78">
        <w:rPr>
          <w:rFonts w:ascii="Times New Roman" w:hAnsi="Times New Roman" w:cs="Times New Roman"/>
          <w:i/>
        </w:rPr>
        <w:t xml:space="preserve">New York Times </w:t>
      </w:r>
      <w:r w:rsidRPr="00064F78">
        <w:rPr>
          <w:rFonts w:ascii="Times New Roman" w:hAnsi="Times New Roman" w:cs="Times New Roman"/>
        </w:rPr>
        <w:t xml:space="preserve">had published a story about the release of the transcripts a bit earlier, but had not treated it as very important. The </w:t>
      </w:r>
      <w:r w:rsidRPr="00064F78">
        <w:rPr>
          <w:rFonts w:ascii="Times New Roman" w:hAnsi="Times New Roman" w:cs="Times New Roman"/>
          <w:i/>
        </w:rPr>
        <w:t>Times</w:t>
      </w:r>
      <w:r w:rsidRPr="00064F78">
        <w:rPr>
          <w:rFonts w:ascii="Times New Roman" w:hAnsi="Times New Roman" w:cs="Times New Roman"/>
        </w:rPr>
        <w:t xml:space="preserve"> instead quoted the chief archivist at the Kennedy Library as saying the new material contained “no surprises”—that “it doesn’t change anything. There is nothing new of substance.”</w:t>
      </w:r>
      <w:r w:rsidRPr="00064F78">
        <w:rPr>
          <w:rStyle w:val="FootnoteReference"/>
          <w:rFonts w:ascii="Times New Roman" w:hAnsi="Times New Roman"/>
        </w:rPr>
        <w:footnoteReference w:id="5"/>
      </w:r>
      <w:r w:rsidRPr="00064F78">
        <w:rPr>
          <w:rFonts w:ascii="Times New Roman" w:hAnsi="Times New Roman" w:cs="Times New Roman"/>
        </w:rPr>
        <w:t xml:space="preserve"> Still, I thought the new material would be worth looking at. And indeed there were some major surprises in the October 16th tapes.  </w:t>
      </w:r>
    </w:p>
    <w:p w:rsidR="00245384" w:rsidRPr="00064F78" w:rsidRDefault="00245384" w:rsidP="00245384">
      <w:pPr>
        <w:rPr>
          <w:rFonts w:ascii="Times New Roman" w:hAnsi="Times New Roman" w:cs="Times New Roman"/>
        </w:rPr>
      </w:pPr>
    </w:p>
    <w:p w:rsidR="00245384" w:rsidRPr="00064F78" w:rsidRDefault="00245384" w:rsidP="00245384">
      <w:pPr>
        <w:rPr>
          <w:rFonts w:ascii="Times New Roman" w:hAnsi="Times New Roman" w:cs="Times New Roman"/>
        </w:rPr>
      </w:pPr>
      <w:r w:rsidRPr="00064F78">
        <w:rPr>
          <w:rFonts w:ascii="Times New Roman" w:hAnsi="Times New Roman" w:cs="Times New Roman"/>
        </w:rPr>
        <w:t xml:space="preserve">I didn’t plan, however, on using that material in anything I was writing. At the time, I was much more interested in the Berlin crisis and European issues than in the Cuban crisis. But a friend of mine, Steve Van Evera, was taking over as editor of </w:t>
      </w:r>
      <w:r w:rsidRPr="00064F78">
        <w:rPr>
          <w:rFonts w:ascii="Times New Roman" w:hAnsi="Times New Roman" w:cs="Times New Roman"/>
          <w:i/>
        </w:rPr>
        <w:t>International Security.</w:t>
      </w:r>
      <w:r w:rsidRPr="00064F78">
        <w:rPr>
          <w:rFonts w:ascii="Times New Roman" w:hAnsi="Times New Roman" w:cs="Times New Roman"/>
        </w:rPr>
        <w:t xml:space="preserve"> He said the first issue to be published under his editorship was very important, and he asked me if I had anything he could publish. I said I had come across some terrific material relating to the Cuban Missile Crisis and I could work something up, which I did. But that draft turned out to be unpublishable—discursive, unfocused, and without any real point to it. Steve then had me work with his friend John Mearsheimer, who I had not met at that time, and John told me exactly how to restructure it, so that the analysis spoke directly to the questions security studies people in political science were interested in. That restructuring worked, and John’s contribution was so great that I asked him if he would like to be listed as co-author. He said no, that this article would be important for me, that it would in fact establish my reputation in the field, and he didn’t want to dilute the effect. I’ll always be grateful to him for that.</w:t>
      </w:r>
      <w:r>
        <w:rPr>
          <w:rStyle w:val="FootnoteReference"/>
          <w:rFonts w:cs="Times New Roman"/>
        </w:rPr>
        <w:footnoteReference w:id="6"/>
      </w:r>
    </w:p>
    <w:p w:rsidR="00245384" w:rsidRPr="00064F78" w:rsidRDefault="00245384" w:rsidP="00245384">
      <w:pPr>
        <w:rPr>
          <w:rFonts w:ascii="Times New Roman" w:hAnsi="Times New Roman" w:cs="Times New Roman"/>
        </w:rPr>
      </w:pPr>
    </w:p>
    <w:p w:rsidR="00CC7C06" w:rsidRDefault="00245384">
      <w:r w:rsidRPr="00064F78">
        <w:rPr>
          <w:rFonts w:ascii="Times New Roman" w:hAnsi="Times New Roman" w:cs="Times New Roman"/>
        </w:rPr>
        <w:t>So what’s the bottom line here? You try to be systematic when you’re doing your work. You try to have some kind of plan for tackling the topic you’re interested in. But like war plans, which, as the saying goes, don’t survive the first contact with the enemy, research strategies should never be viewed as strait-jackets. You might try to be systematic, but you’re always amazed by how hit-or-miss the research process is, and the key thing is that you have to be ready to adjust your strategy to whatever obstacles or opportunities turn up. “On s’engage, puis on voit”—you throw yourself in, and then you look around: that’s how Napoleon said you had to approach battle. In real life, of course, it’s important to not over-improvise, and in tackling a problem in international relations it’s important to think hard about how you propose to proceed. As Eisenhower put the point, “plans are worthless, but planning is everything.” And that point applies not just to military planning but also to planning a research project in the archives or otherwise: in doing research you really need to be more flexible than you might think.</w:t>
      </w:r>
    </w:p>
    <w:sectPr w:rsidR="00CC7C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B97" w:rsidRDefault="00345B97" w:rsidP="00245384">
      <w:r>
        <w:separator/>
      </w:r>
    </w:p>
  </w:endnote>
  <w:endnote w:type="continuationSeparator" w:id="0">
    <w:p w:rsidR="00345B97" w:rsidRDefault="00345B97" w:rsidP="0024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B97" w:rsidRDefault="00345B97" w:rsidP="00245384">
      <w:r>
        <w:separator/>
      </w:r>
    </w:p>
  </w:footnote>
  <w:footnote w:type="continuationSeparator" w:id="0">
    <w:p w:rsidR="00345B97" w:rsidRDefault="00345B97" w:rsidP="00245384">
      <w:r>
        <w:continuationSeparator/>
      </w:r>
    </w:p>
  </w:footnote>
  <w:footnote w:id="1">
    <w:p w:rsidR="00245384" w:rsidRPr="006E165D" w:rsidRDefault="00245384" w:rsidP="006E165D">
      <w:pPr>
        <w:pStyle w:val="FootnoteText"/>
        <w:spacing w:after="120"/>
        <w:rPr>
          <w:rFonts w:ascii="Garamond" w:hAnsi="Garamond"/>
          <w:sz w:val="20"/>
          <w:szCs w:val="20"/>
        </w:rPr>
      </w:pPr>
      <w:r w:rsidRPr="006E165D">
        <w:rPr>
          <w:rStyle w:val="FootnoteReference"/>
          <w:rFonts w:ascii="Garamond" w:hAnsi="Garamond"/>
          <w:sz w:val="20"/>
          <w:szCs w:val="20"/>
        </w:rPr>
        <w:footnoteRef/>
      </w:r>
      <w:r w:rsidRPr="006E165D">
        <w:rPr>
          <w:rFonts w:ascii="Garamond" w:hAnsi="Garamond"/>
          <w:sz w:val="20"/>
          <w:szCs w:val="20"/>
        </w:rPr>
        <w:t xml:space="preserve"> See Marc Trachtenberg, </w:t>
      </w:r>
      <w:r w:rsidRPr="006E165D">
        <w:rPr>
          <w:rFonts w:ascii="Garamond" w:hAnsi="Garamond"/>
          <w:i/>
          <w:iCs/>
          <w:sz w:val="20"/>
          <w:szCs w:val="20"/>
        </w:rPr>
        <w:t>Reparation in World Politics: France and European Economic Diplomacy, 1916-1923</w:t>
      </w:r>
      <w:r w:rsidRPr="006E165D">
        <w:rPr>
          <w:rFonts w:ascii="Garamond" w:hAnsi="Garamond"/>
          <w:sz w:val="20"/>
          <w:szCs w:val="20"/>
        </w:rPr>
        <w:t xml:space="preserve"> (New York: Columbia University Press, 1980), esp. pp. 59-60, and Marc Trachtenberg, "Reparation at the Paris Peace Conference" (with comments and reply), </w:t>
      </w:r>
      <w:r w:rsidRPr="006E165D">
        <w:rPr>
          <w:rFonts w:ascii="Garamond" w:hAnsi="Garamond"/>
          <w:i/>
          <w:iCs/>
          <w:sz w:val="20"/>
          <w:szCs w:val="20"/>
        </w:rPr>
        <w:t>Journal of Modern History</w:t>
      </w:r>
      <w:r w:rsidRPr="006E165D">
        <w:rPr>
          <w:rFonts w:ascii="Garamond" w:hAnsi="Garamond"/>
          <w:sz w:val="20"/>
          <w:szCs w:val="20"/>
        </w:rPr>
        <w:t xml:space="preserve"> (March 1979), pp. 34-35.</w:t>
      </w:r>
    </w:p>
  </w:footnote>
  <w:footnote w:id="2">
    <w:p w:rsidR="00245384" w:rsidRPr="006E165D" w:rsidRDefault="00245384" w:rsidP="006E165D">
      <w:pPr>
        <w:pStyle w:val="FootnoteText"/>
        <w:spacing w:after="120"/>
        <w:rPr>
          <w:rFonts w:ascii="Garamond" w:hAnsi="Garamond"/>
          <w:sz w:val="20"/>
          <w:szCs w:val="20"/>
        </w:rPr>
      </w:pPr>
      <w:r w:rsidRPr="006E165D">
        <w:rPr>
          <w:rStyle w:val="FootnoteReference"/>
          <w:rFonts w:ascii="Garamond" w:hAnsi="Garamond"/>
          <w:sz w:val="20"/>
          <w:szCs w:val="20"/>
        </w:rPr>
        <w:footnoteRef/>
      </w:r>
      <w:r w:rsidRPr="006E165D">
        <w:rPr>
          <w:rFonts w:ascii="Garamond" w:hAnsi="Garamond"/>
          <w:sz w:val="20"/>
          <w:szCs w:val="20"/>
        </w:rPr>
        <w:t xml:space="preserve"> See Marc Trachtenberg, “La formation du système de défense occidentale: les États-Unis, la France et MC 48,” in Maurice Vaïsse, Pierre Mélandri and Frédéric Bozo, </w:t>
      </w:r>
      <w:r w:rsidRPr="006E165D">
        <w:rPr>
          <w:rFonts w:ascii="Garamond" w:hAnsi="Garamond"/>
          <w:i/>
          <w:iCs/>
          <w:sz w:val="20"/>
          <w:szCs w:val="20"/>
        </w:rPr>
        <w:t>La France et</w:t>
      </w:r>
      <w:r w:rsidRPr="006E165D">
        <w:rPr>
          <w:rFonts w:ascii="Garamond" w:hAnsi="Garamond"/>
          <w:sz w:val="20"/>
          <w:szCs w:val="20"/>
        </w:rPr>
        <w:t xml:space="preserve"> </w:t>
      </w:r>
      <w:r w:rsidRPr="006E165D">
        <w:rPr>
          <w:rFonts w:ascii="Garamond" w:hAnsi="Garamond"/>
          <w:i/>
          <w:iCs/>
          <w:sz w:val="20"/>
          <w:szCs w:val="20"/>
        </w:rPr>
        <w:t xml:space="preserve">l'OTAN, 1949-1996 </w:t>
      </w:r>
      <w:r w:rsidRPr="006E165D">
        <w:rPr>
          <w:rFonts w:ascii="Garamond" w:hAnsi="Garamond"/>
          <w:sz w:val="20"/>
          <w:szCs w:val="20"/>
        </w:rPr>
        <w:t xml:space="preserve">(Paris, 1996); republished, with some changes, in English translation in Marc Trachtenberg, </w:t>
      </w:r>
      <w:r w:rsidRPr="006E165D">
        <w:rPr>
          <w:rFonts w:ascii="Garamond" w:hAnsi="Garamond"/>
          <w:i/>
          <w:sz w:val="20"/>
          <w:szCs w:val="20"/>
        </w:rPr>
        <w:t>The Cold War and After: History, Theory, and the Logic of International Politics</w:t>
      </w:r>
      <w:r w:rsidRPr="006E165D">
        <w:rPr>
          <w:rFonts w:ascii="Garamond" w:hAnsi="Garamond"/>
          <w:sz w:val="20"/>
          <w:szCs w:val="20"/>
        </w:rPr>
        <w:t xml:space="preserve"> (Princeton University Press, 2012). See especially pp. 143-49 in the English version. </w:t>
      </w:r>
    </w:p>
  </w:footnote>
  <w:footnote w:id="3">
    <w:p w:rsidR="00245384" w:rsidRPr="006E165D" w:rsidRDefault="00245384" w:rsidP="006E165D">
      <w:pPr>
        <w:pStyle w:val="FootnoteText"/>
        <w:spacing w:after="120"/>
        <w:rPr>
          <w:rFonts w:ascii="Garamond" w:hAnsi="Garamond"/>
          <w:sz w:val="20"/>
          <w:szCs w:val="20"/>
        </w:rPr>
      </w:pPr>
      <w:r w:rsidRPr="006E165D">
        <w:rPr>
          <w:rStyle w:val="FootnoteReference"/>
          <w:rFonts w:ascii="Garamond" w:hAnsi="Garamond"/>
          <w:sz w:val="20"/>
          <w:szCs w:val="20"/>
        </w:rPr>
        <w:footnoteRef/>
      </w:r>
      <w:r w:rsidRPr="006E165D">
        <w:rPr>
          <w:rFonts w:ascii="Garamond" w:hAnsi="Garamond"/>
          <w:sz w:val="20"/>
          <w:szCs w:val="20"/>
        </w:rPr>
        <w:t xml:space="preserve"> See Marc Trachtenberg, “Declassification Analysis: The Method, and Some Examples” (</w:t>
      </w:r>
      <w:hyperlink r:id="rId1" w:history="1">
        <w:r w:rsidRPr="006E165D">
          <w:rPr>
            <w:rStyle w:val="Hyperlink"/>
            <w:rFonts w:ascii="Garamond" w:hAnsi="Garamond"/>
            <w:sz w:val="20"/>
            <w:szCs w:val="20"/>
          </w:rPr>
          <w:t>http://www.sscnet.ucla.edu/polisci/faculty/trachtenberg/documents/doclist.html</w:t>
        </w:r>
      </w:hyperlink>
      <w:r w:rsidRPr="006E165D">
        <w:rPr>
          <w:rFonts w:ascii="Garamond" w:hAnsi="Garamond"/>
          <w:sz w:val="20"/>
          <w:szCs w:val="20"/>
        </w:rPr>
        <w:t>), and Marc Trachtenberg, “Declassification Analysis: More Grist for the Mill” (</w:t>
      </w:r>
      <w:hyperlink r:id="rId2" w:history="1">
        <w:r w:rsidRPr="006E165D">
          <w:rPr>
            <w:rStyle w:val="Hyperlink"/>
            <w:rFonts w:ascii="Garamond" w:hAnsi="Garamond"/>
            <w:sz w:val="20"/>
            <w:szCs w:val="20"/>
          </w:rPr>
          <w:t>http://www.sscnet.ucla.edu/polisci/faculty/trachtenberg/decl/grist.htm</w:t>
        </w:r>
      </w:hyperlink>
      <w:r w:rsidRPr="006E165D">
        <w:rPr>
          <w:rFonts w:ascii="Garamond" w:hAnsi="Garamond"/>
          <w:sz w:val="20"/>
          <w:szCs w:val="20"/>
        </w:rPr>
        <w:t xml:space="preserve">).  These were posted on a website I created as a kind of online supplement to the book in question: Marc Trachtenberg, </w:t>
      </w:r>
      <w:r w:rsidRPr="006E165D">
        <w:rPr>
          <w:rFonts w:ascii="Garamond" w:hAnsi="Garamond"/>
          <w:i/>
          <w:sz w:val="20"/>
          <w:szCs w:val="20"/>
        </w:rPr>
        <w:t xml:space="preserve">A Constructed Peace: The Making of the European Settlement, 1945-1965 </w:t>
      </w:r>
      <w:r w:rsidRPr="006E165D">
        <w:rPr>
          <w:rFonts w:ascii="Garamond" w:hAnsi="Garamond"/>
          <w:sz w:val="20"/>
          <w:szCs w:val="20"/>
        </w:rPr>
        <w:t>(Princeton:  Princeton University Press, 1999).</w:t>
      </w:r>
    </w:p>
  </w:footnote>
  <w:footnote w:id="4">
    <w:p w:rsidR="00245384" w:rsidRPr="006E165D" w:rsidRDefault="00245384" w:rsidP="006E165D">
      <w:pPr>
        <w:spacing w:after="120"/>
        <w:rPr>
          <w:rFonts w:ascii="Garamond" w:eastAsia="Times New Roman" w:hAnsi="Garamond" w:cs="Times New Roman"/>
          <w:sz w:val="20"/>
          <w:szCs w:val="20"/>
        </w:rPr>
      </w:pPr>
      <w:r w:rsidRPr="006E165D">
        <w:rPr>
          <w:rStyle w:val="FootnoteReference"/>
          <w:rFonts w:ascii="Garamond" w:hAnsi="Garamond"/>
          <w:sz w:val="20"/>
          <w:szCs w:val="20"/>
        </w:rPr>
        <w:footnoteRef/>
      </w:r>
      <w:r w:rsidRPr="006E165D">
        <w:rPr>
          <w:rFonts w:ascii="Garamond" w:hAnsi="Garamond" w:cs="Times New Roman"/>
          <w:sz w:val="20"/>
          <w:szCs w:val="20"/>
        </w:rPr>
        <w:t xml:space="preserve"> </w:t>
      </w:r>
      <w:r w:rsidRPr="006E165D">
        <w:rPr>
          <w:rFonts w:ascii="Garamond" w:eastAsia="Times New Roman" w:hAnsi="Garamond" w:cs="Times New Roman"/>
          <w:sz w:val="20"/>
          <w:szCs w:val="20"/>
        </w:rPr>
        <w:t xml:space="preserve">Fred Kaplan, </w:t>
      </w:r>
      <w:r w:rsidRPr="006E165D">
        <w:rPr>
          <w:rFonts w:ascii="Garamond" w:eastAsia="Times New Roman" w:hAnsi="Garamond" w:cs="Times New Roman"/>
          <w:i/>
          <w:iCs/>
          <w:sz w:val="20"/>
          <w:szCs w:val="20"/>
        </w:rPr>
        <w:t>The Wizards of Armageddon</w:t>
      </w:r>
      <w:r w:rsidRPr="006E165D">
        <w:rPr>
          <w:rFonts w:ascii="Garamond" w:eastAsia="Times New Roman" w:hAnsi="Garamond" w:cs="Times New Roman"/>
          <w:sz w:val="20"/>
          <w:szCs w:val="20"/>
        </w:rPr>
        <w:t xml:space="preserve"> (Palo Alto: Stanford University Press, 1991).</w:t>
      </w:r>
    </w:p>
  </w:footnote>
  <w:footnote w:id="5">
    <w:p w:rsidR="00245384" w:rsidRPr="006E165D" w:rsidRDefault="00245384" w:rsidP="006E165D">
      <w:pPr>
        <w:pStyle w:val="FootnoteText"/>
        <w:spacing w:after="120"/>
        <w:rPr>
          <w:rFonts w:ascii="Garamond" w:hAnsi="Garamond"/>
          <w:sz w:val="20"/>
          <w:szCs w:val="20"/>
        </w:rPr>
      </w:pPr>
      <w:r w:rsidRPr="006E165D">
        <w:rPr>
          <w:rStyle w:val="FootnoteReference"/>
          <w:rFonts w:ascii="Garamond" w:hAnsi="Garamond"/>
          <w:sz w:val="20"/>
          <w:szCs w:val="20"/>
        </w:rPr>
        <w:footnoteRef/>
      </w:r>
      <w:r w:rsidRPr="006E165D">
        <w:rPr>
          <w:rFonts w:ascii="Garamond" w:hAnsi="Garamond"/>
          <w:sz w:val="20"/>
          <w:szCs w:val="20"/>
        </w:rPr>
        <w:t xml:space="preserve"> Fox Butterfield, “Library Releases Cuban Crisis Tapes,” </w:t>
      </w:r>
      <w:r w:rsidRPr="006E165D">
        <w:rPr>
          <w:rFonts w:ascii="Garamond" w:hAnsi="Garamond"/>
          <w:i/>
          <w:sz w:val="20"/>
          <w:szCs w:val="20"/>
        </w:rPr>
        <w:t>New York Times</w:t>
      </w:r>
      <w:r w:rsidRPr="006E165D">
        <w:rPr>
          <w:rFonts w:ascii="Garamond" w:hAnsi="Garamond"/>
          <w:sz w:val="20"/>
          <w:szCs w:val="20"/>
        </w:rPr>
        <w:t>, October 27, 1983, p. A3.</w:t>
      </w:r>
    </w:p>
  </w:footnote>
  <w:footnote w:id="6">
    <w:p w:rsidR="00245384" w:rsidRPr="006E165D" w:rsidRDefault="00245384" w:rsidP="006E165D">
      <w:pPr>
        <w:pStyle w:val="NormalWeb"/>
        <w:spacing w:after="120" w:afterAutospacing="0"/>
        <w:rPr>
          <w:rFonts w:ascii="Garamond" w:hAnsi="Garamond"/>
          <w:sz w:val="20"/>
          <w:szCs w:val="20"/>
        </w:rPr>
      </w:pPr>
      <w:r w:rsidRPr="006E165D">
        <w:rPr>
          <w:rStyle w:val="FootnoteReference"/>
          <w:rFonts w:ascii="Garamond" w:hAnsi="Garamond"/>
          <w:sz w:val="20"/>
          <w:szCs w:val="20"/>
        </w:rPr>
        <w:footnoteRef/>
      </w:r>
      <w:r w:rsidRPr="006E165D">
        <w:rPr>
          <w:rFonts w:ascii="Garamond" w:hAnsi="Garamond"/>
          <w:sz w:val="20"/>
          <w:szCs w:val="20"/>
        </w:rPr>
        <w:t xml:space="preserve"> </w:t>
      </w:r>
      <w:r w:rsidR="006E165D" w:rsidRPr="006E165D">
        <w:rPr>
          <w:rFonts w:ascii="Garamond" w:hAnsi="Garamond"/>
          <w:sz w:val="20"/>
          <w:szCs w:val="20"/>
        </w:rPr>
        <w:t xml:space="preserve"> See Marc Trachtenberg, “</w:t>
      </w:r>
      <w:r w:rsidRPr="006E165D">
        <w:rPr>
          <w:rFonts w:ascii="Garamond" w:hAnsi="Garamond"/>
          <w:sz w:val="20"/>
          <w:szCs w:val="20"/>
        </w:rPr>
        <w:t>The Influence of Nuclear Weapons in the Cuban Missile Crisis,</w:t>
      </w:r>
      <w:r w:rsidR="006E165D" w:rsidRPr="006E165D">
        <w:rPr>
          <w:rFonts w:ascii="Garamond" w:hAnsi="Garamond"/>
          <w:sz w:val="20"/>
          <w:szCs w:val="20"/>
        </w:rPr>
        <w:t>”</w:t>
      </w:r>
      <w:r w:rsidRPr="006E165D">
        <w:rPr>
          <w:rFonts w:ascii="Garamond" w:hAnsi="Garamond"/>
          <w:sz w:val="20"/>
          <w:szCs w:val="20"/>
        </w:rPr>
        <w:t xml:space="preserve"> </w:t>
      </w:r>
      <w:r w:rsidRPr="006E165D">
        <w:rPr>
          <w:rFonts w:ascii="Garamond" w:hAnsi="Garamond"/>
          <w:i/>
          <w:iCs/>
          <w:sz w:val="20"/>
          <w:szCs w:val="20"/>
        </w:rPr>
        <w:t>International Security</w:t>
      </w:r>
      <w:r w:rsidRPr="006E165D">
        <w:rPr>
          <w:rFonts w:ascii="Garamond" w:hAnsi="Garamond"/>
          <w:sz w:val="20"/>
          <w:szCs w:val="20"/>
        </w:rPr>
        <w:t xml:space="preserve"> 10:1 (Summer 1985)</w:t>
      </w:r>
      <w:r w:rsidR="006E165D" w:rsidRPr="006E165D">
        <w:rPr>
          <w:rFonts w:ascii="Garamond" w:hAnsi="Garamond"/>
          <w:sz w:val="20"/>
          <w:szCs w:val="20"/>
        </w:rPr>
        <w:t xml:space="preserve">.  The editors also asked me to select some key excerpts from the documents for publication and write an </w:t>
      </w:r>
      <w:r w:rsidRPr="006E165D">
        <w:rPr>
          <w:rFonts w:ascii="Garamond" w:hAnsi="Garamond"/>
          <w:sz w:val="20"/>
          <w:szCs w:val="20"/>
        </w:rPr>
        <w:t>introduction</w:t>
      </w:r>
      <w:r w:rsidR="006E165D" w:rsidRPr="006E165D">
        <w:rPr>
          <w:rFonts w:ascii="Garamond" w:hAnsi="Garamond"/>
          <w:sz w:val="20"/>
          <w:szCs w:val="20"/>
        </w:rPr>
        <w:t xml:space="preserve"> to the documents.  That material was also published in that issue.</w:t>
      </w:r>
      <w:r w:rsidR="004B4F64">
        <w:rPr>
          <w:rFonts w:ascii="Garamond" w:hAnsi="Garamond"/>
          <w:sz w:val="20"/>
          <w:szCs w:val="20"/>
        </w:rPr>
        <w:t xml:space="preserve">  </w:t>
      </w:r>
    </w:p>
    <w:p w:rsidR="00245384" w:rsidRPr="006E165D" w:rsidRDefault="00245384" w:rsidP="006E165D">
      <w:pPr>
        <w:pStyle w:val="FootnoteText"/>
        <w:spacing w:after="120"/>
        <w:rPr>
          <w:rFonts w:ascii="Garamond" w:hAnsi="Garamond"/>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46ECD"/>
    <w:multiLevelType w:val="hybridMultilevel"/>
    <w:tmpl w:val="1E06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84"/>
    <w:rsid w:val="0014138F"/>
    <w:rsid w:val="00245384"/>
    <w:rsid w:val="00345B97"/>
    <w:rsid w:val="004B4F64"/>
    <w:rsid w:val="006E165D"/>
    <w:rsid w:val="007E45CB"/>
    <w:rsid w:val="00BE74D9"/>
    <w:rsid w:val="00CC7C06"/>
    <w:rsid w:val="00FB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C7F48-ACF7-435F-AFD0-D3E2ACCD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384"/>
    <w:pPr>
      <w:spacing w:line="240" w:lineRule="auto"/>
    </w:pPr>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45384"/>
    <w:rPr>
      <w:rFonts w:ascii="Times" w:hAnsi="Times" w:cs="Times New Roman"/>
      <w:color w:val="000000"/>
    </w:rPr>
  </w:style>
  <w:style w:type="character" w:customStyle="1" w:styleId="FootnoteTextChar">
    <w:name w:val="Footnote Text Char"/>
    <w:basedOn w:val="DefaultParagraphFont"/>
    <w:link w:val="FootnoteText"/>
    <w:uiPriority w:val="99"/>
    <w:rsid w:val="00245384"/>
    <w:rPr>
      <w:rFonts w:ascii="Times" w:eastAsiaTheme="minorEastAsia" w:hAnsi="Times" w:cs="Times New Roman"/>
      <w:color w:val="000000"/>
      <w:sz w:val="24"/>
      <w:szCs w:val="24"/>
    </w:rPr>
  </w:style>
  <w:style w:type="character" w:styleId="FootnoteReference">
    <w:name w:val="footnote reference"/>
    <w:basedOn w:val="DefaultParagraphFont"/>
    <w:uiPriority w:val="99"/>
    <w:rsid w:val="00245384"/>
    <w:rPr>
      <w:rFonts w:ascii="Book Antiqua" w:hAnsi="Book Antiqua"/>
      <w:sz w:val="22"/>
      <w:vertAlign w:val="superscript"/>
    </w:rPr>
  </w:style>
  <w:style w:type="paragraph" w:customStyle="1" w:styleId="Body">
    <w:name w:val="Body"/>
    <w:rsid w:val="00245384"/>
    <w:pPr>
      <w:pBdr>
        <w:top w:val="nil"/>
        <w:left w:val="nil"/>
        <w:bottom w:val="nil"/>
        <w:right w:val="nil"/>
        <w:between w:val="nil"/>
        <w:bar w:val="nil"/>
      </w:pBdr>
      <w:spacing w:line="240" w:lineRule="auto"/>
    </w:pPr>
    <w:rPr>
      <w:rFonts w:ascii="Helvetica Neue" w:eastAsia="Arial Unicode MS" w:hAnsi="Helvetica Neue" w:cs="Arial Unicode MS"/>
      <w:color w:val="000000"/>
      <w:sz w:val="22"/>
      <w:bdr w:val="nil"/>
    </w:rPr>
  </w:style>
  <w:style w:type="character" w:styleId="Hyperlink">
    <w:name w:val="Hyperlink"/>
    <w:basedOn w:val="DefaultParagraphFont"/>
    <w:uiPriority w:val="99"/>
    <w:unhideWhenUsed/>
    <w:rsid w:val="00245384"/>
    <w:rPr>
      <w:color w:val="0563C1" w:themeColor="hyperlink"/>
      <w:u w:val="single"/>
    </w:rPr>
  </w:style>
  <w:style w:type="paragraph" w:styleId="NormalWeb">
    <w:name w:val="Normal (Web)"/>
    <w:basedOn w:val="Normal"/>
    <w:uiPriority w:val="99"/>
    <w:semiHidden/>
    <w:unhideWhenUsed/>
    <w:rsid w:val="0024538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39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sscnet.ucla.edu/polisci/faculty/trachtenberg/decl/grist.htm" TargetMode="External"/><Relationship Id="rId1" Type="http://schemas.openxmlformats.org/officeDocument/2006/relationships/hyperlink" Target="http://www.sscnet.ucla.edu/polisci/faculty/trachtenberg/documents/docli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Trachtenberg</dc:creator>
  <cp:keywords/>
  <dc:description/>
  <cp:lastModifiedBy>Marc Trachtenberg</cp:lastModifiedBy>
  <cp:revision>2</cp:revision>
  <dcterms:created xsi:type="dcterms:W3CDTF">2020-11-22T22:38:00Z</dcterms:created>
  <dcterms:modified xsi:type="dcterms:W3CDTF">2020-11-22T22:38:00Z</dcterms:modified>
</cp:coreProperties>
</file>